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4f81bd" w:space="0" w:sz="8" w:val="single"/>
        </w:pBdr>
        <w:spacing w:after="3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ПРИЛОЖЕНИЕ № 2</w:t>
      </w:r>
    </w:p>
    <w:p w:rsidR="00000000" w:rsidDel="00000000" w:rsidP="00000000" w:rsidRDefault="00000000" w:rsidRPr="00000000" w14:paraId="00000002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Требования к оборудованию, принимаемому на обслуживание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 публичной оферте для Клиентов</w:t>
        <w:br w:type="textWrapping"/>
        <w:t xml:space="preserve">Редакция от: 01.09.2026  Дата размещения: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01.09.2026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24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ДомТакт вправе изменять настоящее Приложение в одностороннем порядке без изменения текста Оферты. Актуальная редакция размещается на Платформе.</w:t>
      </w:r>
    </w:p>
    <w:p w:rsidR="00000000" w:rsidDel="00000000" w:rsidP="00000000" w:rsidRDefault="00000000" w:rsidRPr="00000000" w14:paraId="00000005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Общие принципы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1.1. 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плановое обслуживание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принимается только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исправное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оборудование, соответствующее требованиям настоящего Приложения.</w:t>
        <w:br w:type="textWrapping"/>
        <w:t xml:space="preserve">1.2. Обслуживание и техническое обслуживание (ТО) проводятся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 соответствии с паспортом оборудования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регламентом и рекомендациями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производителя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а также действующими нормами безопасности.</w:t>
        <w:br w:type="textWrapping"/>
        <w:t xml:space="preserve">1.3.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Неисправное оборудование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требующее ремонта, на обслуживание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принимается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до выполнения условий раздела 2.</w:t>
        <w:br w:type="textWrapping"/>
        <w:t xml:space="preserve">1.4. ДомТакт и Партнёры оказывают услуги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внутри объекта недвижимости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Клиента (дом, котельная, техническое помещение на участке в зоне ответственности Клиента).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Внешние сети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посёлка, муниципалитета и управляющей компании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входят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зону обслуживания.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.5.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 Объект обслуживания (Объект)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 Одна Подписка закрепляется за 1 (одним) конкретным обособленным строением.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В случае, если по одному почтовому адресу или на одном земельном участке расположено несколько строений (например, основной дом, гостевой дом, отапливаемая баня, гараж и т.д.), действие одной Подписки распространяется только на одно выбранное строение. Для обслуживания дополнительных строений Клиенту необходимо оформить отдельные Подписки на каждое из них.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Идентификация Объекта производится Клиентом в Личном кабинете при оформлении Подписки (путем указания адреса, типа строения и характеристик оборудования).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В базовый лимит обслуживания в рамках одного Объекта (одной Подписки) входит оборудование согласно подписке.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1.6.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highlight w:val="yellow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2. Порядок принятия неисправного оборудования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2.1. Если оборудование Клиента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неисправно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требует ремонта, оно может быть принято на обслуживание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только после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проведения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платного аудита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(диагностики);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выполнения необходимого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ремонта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получения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письменного подтверждения Партнёра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 возможности принятия оборудования на обслуживание.</w:t>
      </w:r>
    </w:p>
    <w:p w:rsidR="00000000" w:rsidDel="00000000" w:rsidP="00000000" w:rsidRDefault="00000000" w:rsidRPr="00000000" w14:paraId="0000000C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2.2. Стоимость аудита и ремонта оплачивается Клиентом отдельно Приложению № 1 к соответствующей Оферте (для Клиента).</w:t>
        <w:br w:type="textWrapping"/>
        <w:t xml:space="preserve">2.3. Если по результатам аудита оборудование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нельзя принять на обслуживание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применяются правила возврата средств, предусмотренные Офертой для клиента.</w:t>
      </w:r>
    </w:p>
    <w:p w:rsidR="00000000" w:rsidDel="00000000" w:rsidP="00000000" w:rsidRDefault="00000000" w:rsidRPr="00000000" w14:paraId="0000000D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Требования по типам оборудования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20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3.1. Атмосферные газовые котлы (настенные, напольные газовые котлы с мощностью до 62 кВт включительно)</w:t>
      </w:r>
    </w:p>
    <w:tbl>
      <w:tblPr>
        <w:tblStyle w:val="Table1"/>
        <w:tblW w:w="9345.0" w:type="dxa"/>
        <w:jc w:val="left"/>
        <w:tblLayout w:type="fixed"/>
        <w:tblLook w:val="0400"/>
      </w:tblPr>
      <w:tblGrid>
        <w:gridCol w:w="2010"/>
        <w:gridCol w:w="7335"/>
        <w:tblGridChange w:id="0">
          <w:tblGrid>
            <w:gridCol w:w="2010"/>
            <w:gridCol w:w="733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Требование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Состояние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 обслуживание принимаются атмосферные газовые котлы (настенные, напольные) с мощностью до 62 кВт включительно.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Котел должен быть установлен стационарно и находиться в пригодном для безопасной эксплуатации состоянии.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Должны отсутствовать признаки аварийного состояния: утечки газа, запах газа, неисправная автоматика, повреждения теплообменника, горелки, дымохода или узлов безопасности.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Оборудование должно быть укомплектовано штатными узлами, иметь доступ для обслуживания и не быть самовольно переделанным.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Дымоудаление и вентиляция должны быть исправны, а тяга — обеспечена в рабочем режиме.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Установка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Внутри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объекта недвижимости (котельная, техпомещение)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Количество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 (один) котёл на объект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по подписке (для тарифов с газовым оборудованием)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Документация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Наличие паспорта / технической документации на оборудование (желательно)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Обслуживание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паспорту и регламенту производителя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Дымоудаление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Труба дымоудаления установлена, герметична, без критических засорений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Газоснабжение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Подключение к внутридомовому газопроводу; отключение газа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посёлком/УК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— не зона обслуживания</w:t>
            </w:r>
          </w:p>
        </w:tc>
      </w:tr>
    </w:tbl>
    <w:p w:rsidR="00000000" w:rsidDel="00000000" w:rsidP="00000000" w:rsidRDefault="00000000" w:rsidRPr="00000000" w14:paraId="00000027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Жизнеобеспечение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(для целей аварийных выездов): функционирование газового котла и газоиспользующего бойлера.</w:t>
      </w:r>
    </w:p>
    <w:p w:rsidR="00000000" w:rsidDel="00000000" w:rsidP="00000000" w:rsidRDefault="00000000" w:rsidRPr="00000000" w14:paraId="00000029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3.2. Станции биологической очистки энергозависимые (СБО) по обслуживанию до 9 человек включительно</w:t>
      </w: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Layout w:type="fixed"/>
        <w:tblLook w:val="0400"/>
      </w:tblPr>
      <w:tblGrid>
        <w:gridCol w:w="2115"/>
        <w:gridCol w:w="7230"/>
        <w:tblGridChange w:id="0">
          <w:tblGrid>
            <w:gridCol w:w="2115"/>
            <w:gridCol w:w="723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Требование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Состояние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 обслуживание принимаются станции биологической очистки по обслуживанию до 9 человек включительно.</w:t>
              <w:br w:type="textWrapping"/>
              <w:br w:type="textWrapping"/>
              <w:t xml:space="preserve">Станции биологической очистки принимаются только в технически исправном состоянии, без разрушений корпуса, протечек, критических деформаций, без нарушения правил эксплуатации, которые указаны изготовителем в паспорте продукта.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Должны быть работоспособны насосы, компрессоры, аэраторы, автоматика и электропитание, если они входят в состав системы.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 объекте должны быть сохранены штатная схема подключения, доступ к обслуживаемым узлам и возможность безопасного проведения регламентных работ.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 принимаются системы с засорами, переполнением, затоплением, нарушенной герметичностью или следами неквалифицированного вмешательства.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Для откачки содержимого станции биологической очистки должна быть предусмотрена возможность подъезда специализированной технике. Шланг для откачки содержимого должен прокладываться вертикально поверхности земли и не иметь участков с подъемами (прокладка шланга через забор, деревья и другие сооружения не предусмотрена) 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Расположение станции биологической очистки до места подъезда специализированной технике по откачке содержимого не более 40 метров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Компрессорно-аэрационные станции; насосные станции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Количество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 (одна) СБО на объект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по подписке (для тарифов с СБО)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Электропитание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Наличие стабилизатора напряжения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рекомендуется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Обслуживание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паспорту производителя и регламенту ТО</w:t>
            </w:r>
          </w:p>
        </w:tc>
      </w:tr>
    </w:tbl>
    <w:p w:rsidR="00000000" w:rsidDel="00000000" w:rsidP="00000000" w:rsidRDefault="00000000" w:rsidRPr="00000000" w14:paraId="00000040">
      <w:pPr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br w:type="textWrapping"/>
        <w:br w:type="textWrapping"/>
        <w:br w:type="textWrapping"/>
      </w:r>
    </w:p>
    <w:tbl>
      <w:tblPr>
        <w:tblStyle w:val="Table3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25"/>
        <w:tblGridChange w:id="0">
          <w:tblGrid>
            <w:gridCol w:w="892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Перечень производителей энергозависимых СБО, по которым возможно обслуживание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АКВАЛОС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АКВАЛОС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АЛЬТА - БИО все модели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БИО-С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БИОДЕКА и ДЕКА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ВОЛГАРЬ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ГАРДА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ГРАНИТ - 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ГРИНЛОС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ГРИНЛОС АКВА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ГРИНЛОС АЭРО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ГРИНЛОС АЭРО ЛАЙТ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ДИАМАНТ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ДИАМАНТ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ЕВРОБИОН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ЕВРОДИАМАНТ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ЕВРОЛОС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ЕВРОЛОС БИО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ЕВРОЛОС ГРУНТ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ЕВРОЛОС ПРО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ЗОРДЕ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ИТАЛ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ИТАЛ АНТЕЙ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ИТАЛ БИО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КИТ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КОЛОВЕСИ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КРИСТАЛ, ТАМАН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МАЛАХИТ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МАЛАХИТ АИР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МАЛАХИТ ГЕО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МАЛАХИТ Классик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МАЛАХИТ НЕРО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СБМ-ГРУПП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СВОЙ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СПАРТА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ТАНК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ТВЕРЬ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ТВЕРЬ ПРО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ТОПАС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ТОПАС-С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ТОПАЭРО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ТОПОЛ-ЭКО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ТОПОЛЬ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ТРИУМФ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УДАЧА (кроме переливной)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ЭКО НОВА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ЭКО-ГРАНД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ЭКОЁЖ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ЮНИЛОС серии АСТРА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74">
      <w:pPr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3.3. Система водоснабжения (внутри дома)</w:t>
      </w: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Layout w:type="fixed"/>
        <w:tblLook w:val="0400"/>
      </w:tblPr>
      <w:tblGrid>
        <w:gridCol w:w="1913"/>
        <w:gridCol w:w="7432"/>
        <w:tblGridChange w:id="0">
          <w:tblGrid>
            <w:gridCol w:w="1913"/>
            <w:gridCol w:w="743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7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Требование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Зона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Внутри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объекта недвижимости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Состояние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Исправное оборудование и разводка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 входит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Внешние сети посёлка, скважины на общем водопроводе УК (если не оговорено отдельно)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 случай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Протечка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внутри дома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(не отключение воды посёлком)</w:t>
            </w:r>
          </w:p>
        </w:tc>
      </w:tr>
    </w:tbl>
    <w:p w:rsidR="00000000" w:rsidDel="00000000" w:rsidP="00000000" w:rsidRDefault="00000000" w:rsidRPr="00000000" w14:paraId="00000081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3.4. Электрооборудование (внутри дома)</w:t>
      </w:r>
      <w:r w:rsidDel="00000000" w:rsidR="00000000" w:rsidRPr="00000000">
        <w:rPr>
          <w:rtl w:val="0"/>
        </w:rPr>
      </w:r>
    </w:p>
    <w:tbl>
      <w:tblPr>
        <w:tblStyle w:val="Table5"/>
        <w:tblW w:w="9345.0" w:type="dxa"/>
        <w:jc w:val="left"/>
        <w:tblLayout w:type="fixed"/>
        <w:tblLook w:val="0400"/>
      </w:tblPr>
      <w:tblGrid>
        <w:gridCol w:w="2080"/>
        <w:gridCol w:w="7265"/>
        <w:tblGridChange w:id="0">
          <w:tblGrid>
            <w:gridCol w:w="2080"/>
            <w:gridCol w:w="726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Требование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Зона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Внутри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объекта недвижимости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Состояние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Исправное оборудование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Ограничение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Без высотных работ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(столбы, фасады зданий)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 случай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Короткое замыкание или отсутствие электроснабжения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в доме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(не отключение посёлком)</w:t>
            </w:r>
          </w:p>
        </w:tc>
      </w:tr>
    </w:tbl>
    <w:p w:rsidR="00000000" w:rsidDel="00000000" w:rsidP="00000000" w:rsidRDefault="00000000" w:rsidRPr="00000000" w14:paraId="0000008D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 Смена и замена оборудования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4.1. Обязанности Клиента при замене оборудования: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уведомить службу поддержки ДомТакт;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согласовать дату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платного аудита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(если плановый аудит ранее уже проводился).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 Документы и подтверждения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5.1. При постановке на обслуживание оформляется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акт аудита / технической диагностики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  <w:br w:type="textWrapping"/>
        <w:t xml:space="preserve">5.2. Клиент обязан предоставить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доступ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 объект и достоверную информацию об оборудовании.</w:t>
        <w:br w:type="textWrapping"/>
        <w:t xml:space="preserve">5.3. Результаты аудита хранятся в системе ДомТакт и могут быть предоставлены Клиенту по запросу (при активной Подписке).</w:t>
      </w:r>
    </w:p>
    <w:p w:rsidR="00000000" w:rsidDel="00000000" w:rsidP="00000000" w:rsidRDefault="00000000" w:rsidRPr="00000000" w14:paraId="00000093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 Порядок изменения Приложения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6.1. ДомТакт вправе изменять настоящее Приложение в одностороннем порядке.</w:t>
        <w:br w:type="textWrapping"/>
        <w:t xml:space="preserve">6.2. Актуальная редакция размещается на Платформе: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https://domtakt.ru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bookmarkStart w:colFirst="0" w:colLast="0" w:name="_heading=h.evx2lgfdcl5k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mtakt.r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tQF3ybE/XoaGOs0L2YVtD1sswQ==">CgMxLjAyDmguZXZ4MmxnZmRjbDVrOAByITF2M1E0cGttQU01ckhVVTZGYTFlc0p6X2R6c2ozMmI4OA==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